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41024E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PNP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</w:t>
      </w:r>
      <w:r w:rsidR="00831901">
        <w:rPr>
          <w:rFonts w:ascii="Arial" w:hAnsi="Arial" w:cs="Arial"/>
          <w:b/>
          <w:sz w:val="20"/>
          <w:szCs w:val="20"/>
        </w:rPr>
        <w:t xml:space="preserve"> of over 10%</w:t>
      </w:r>
      <w:r w:rsidR="00FD2D19">
        <w:rPr>
          <w:rFonts w:ascii="Arial" w:hAnsi="Arial" w:cs="Arial"/>
          <w:b/>
          <w:sz w:val="20"/>
          <w:szCs w:val="20"/>
        </w:rPr>
        <w:t xml:space="preserve"> in</w:t>
      </w:r>
      <w:r w:rsidR="00C761E0">
        <w:rPr>
          <w:rFonts w:ascii="Arial" w:hAnsi="Arial" w:cs="Arial"/>
          <w:b/>
          <w:sz w:val="20"/>
          <w:szCs w:val="20"/>
        </w:rPr>
        <w:t xml:space="preserve"> the </w:t>
      </w:r>
      <w:r w:rsidR="00A308E4">
        <w:rPr>
          <w:rFonts w:ascii="Arial" w:hAnsi="Arial" w:cs="Arial"/>
          <w:b/>
          <w:sz w:val="20"/>
          <w:szCs w:val="20"/>
        </w:rPr>
        <w:t>after-tax profit</w:t>
      </w:r>
      <w:r w:rsidR="00725925">
        <w:rPr>
          <w:rFonts w:ascii="Arial" w:hAnsi="Arial" w:cs="Arial"/>
          <w:b/>
          <w:sz w:val="20"/>
          <w:szCs w:val="20"/>
        </w:rPr>
        <w:t xml:space="preserve"> </w:t>
      </w:r>
      <w:r w:rsidR="00C761E0">
        <w:rPr>
          <w:rFonts w:ascii="Arial" w:hAnsi="Arial" w:cs="Arial"/>
          <w:b/>
          <w:sz w:val="20"/>
          <w:szCs w:val="20"/>
        </w:rPr>
        <w:t>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>the</w:t>
      </w:r>
      <w:r w:rsidR="007F6A0E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 w:rsidR="006F778A">
        <w:rPr>
          <w:rFonts w:ascii="Arial" w:hAnsi="Arial" w:cs="Arial"/>
          <w:b/>
          <w:sz w:val="20"/>
          <w:szCs w:val="20"/>
        </w:rPr>
        <w:t>Q.1/ 2020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A308E4" w:rsidRDefault="00E36A48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1024E">
        <w:rPr>
          <w:rFonts w:ascii="Arial" w:hAnsi="Arial" w:cs="Arial"/>
          <w:sz w:val="20"/>
          <w:szCs w:val="20"/>
        </w:rPr>
        <w:t>07 May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1024E" w:rsidRPr="0041024E">
        <w:rPr>
          <w:rFonts w:ascii="Arial" w:hAnsi="Arial" w:cs="Arial"/>
          <w:sz w:val="20"/>
          <w:szCs w:val="20"/>
        </w:rPr>
        <w:t>Phu</w:t>
      </w:r>
      <w:proofErr w:type="spellEnd"/>
      <w:r w:rsidR="0041024E" w:rsidRPr="004102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24E" w:rsidRPr="0041024E">
        <w:rPr>
          <w:rFonts w:ascii="Arial" w:hAnsi="Arial" w:cs="Arial"/>
          <w:sz w:val="20"/>
          <w:szCs w:val="20"/>
        </w:rPr>
        <w:t>Huu</w:t>
      </w:r>
      <w:proofErr w:type="spellEnd"/>
      <w:r w:rsidR="0041024E" w:rsidRPr="0041024E">
        <w:rPr>
          <w:rFonts w:ascii="Arial" w:hAnsi="Arial" w:cs="Arial"/>
          <w:sz w:val="20"/>
          <w:szCs w:val="20"/>
        </w:rPr>
        <w:t xml:space="preserve"> – Newport Corporation</w:t>
      </w:r>
      <w:r w:rsidR="0041024E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difference</w:t>
      </w:r>
      <w:r w:rsidR="00831901">
        <w:rPr>
          <w:rFonts w:ascii="Arial" w:hAnsi="Arial" w:cs="Arial"/>
          <w:sz w:val="20"/>
          <w:szCs w:val="20"/>
        </w:rPr>
        <w:t xml:space="preserve"> of over 10%</w:t>
      </w:r>
      <w:r w:rsidR="00D778AE" w:rsidRPr="00D778AE">
        <w:rPr>
          <w:rFonts w:ascii="Arial" w:hAnsi="Arial" w:cs="Arial"/>
          <w:sz w:val="20"/>
          <w:szCs w:val="20"/>
        </w:rPr>
        <w:t xml:space="preserve"> in</w:t>
      </w:r>
      <w:r w:rsidR="00C761E0">
        <w:rPr>
          <w:rFonts w:ascii="Arial" w:hAnsi="Arial" w:cs="Arial"/>
          <w:sz w:val="20"/>
          <w:szCs w:val="20"/>
        </w:rPr>
        <w:t xml:space="preserve"> the </w:t>
      </w:r>
      <w:r w:rsidR="00A308E4">
        <w:rPr>
          <w:rFonts w:ascii="Arial" w:hAnsi="Arial" w:cs="Arial"/>
          <w:sz w:val="20"/>
          <w:szCs w:val="20"/>
        </w:rPr>
        <w:t>after-tax profit</w:t>
      </w:r>
      <w:r w:rsidR="00725925">
        <w:rPr>
          <w:rFonts w:ascii="Arial" w:hAnsi="Arial" w:cs="Arial"/>
          <w:sz w:val="20"/>
          <w:szCs w:val="20"/>
        </w:rPr>
        <w:t xml:space="preserve"> </w:t>
      </w:r>
      <w:r w:rsidR="004C7D0C">
        <w:rPr>
          <w:rFonts w:ascii="Arial" w:hAnsi="Arial" w:cs="Arial"/>
          <w:sz w:val="20"/>
          <w:szCs w:val="20"/>
        </w:rPr>
        <w:t xml:space="preserve">in </w:t>
      </w:r>
      <w:r w:rsidR="00A16A85">
        <w:rPr>
          <w:rFonts w:ascii="Arial" w:hAnsi="Arial" w:cs="Arial"/>
          <w:sz w:val="20"/>
          <w:szCs w:val="20"/>
        </w:rPr>
        <w:t xml:space="preserve">financial statement </w:t>
      </w:r>
      <w:r w:rsidR="00D778AE">
        <w:rPr>
          <w:rFonts w:ascii="Arial" w:hAnsi="Arial" w:cs="Arial"/>
          <w:sz w:val="20"/>
          <w:szCs w:val="20"/>
        </w:rPr>
        <w:t xml:space="preserve">of </w:t>
      </w:r>
      <w:r w:rsidR="006F778A">
        <w:rPr>
          <w:rFonts w:ascii="Arial" w:hAnsi="Arial" w:cs="Arial"/>
          <w:sz w:val="20"/>
          <w:szCs w:val="20"/>
        </w:rPr>
        <w:t>Q.1/ 2020</w:t>
      </w:r>
      <w:r w:rsidR="00D778AE" w:rsidRPr="00D778AE">
        <w:rPr>
          <w:rFonts w:ascii="Arial" w:hAnsi="Arial" w:cs="Arial"/>
          <w:sz w:val="20"/>
          <w:szCs w:val="20"/>
        </w:rPr>
        <w:t xml:space="preserve"> 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3151"/>
        <w:gridCol w:w="1911"/>
        <w:gridCol w:w="1909"/>
        <w:gridCol w:w="1910"/>
      </w:tblGrid>
      <w:tr w:rsidR="00FF18BE" w:rsidTr="009034CA">
        <w:tc>
          <w:tcPr>
            <w:tcW w:w="648" w:type="dxa"/>
          </w:tcPr>
          <w:p w:rsidR="009034CA" w:rsidRDefault="009034CA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3182" w:type="dxa"/>
          </w:tcPr>
          <w:p w:rsidR="009034CA" w:rsidRDefault="001512FE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financial statement of Q.1/ 2020</w:t>
            </w:r>
          </w:p>
        </w:tc>
        <w:tc>
          <w:tcPr>
            <w:tcW w:w="1915" w:type="dxa"/>
          </w:tcPr>
          <w:p w:rsidR="009034CA" w:rsidRDefault="001512FE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Accumulated figures in Q.1/ 2019</w:t>
            </w:r>
          </w:p>
        </w:tc>
        <w:tc>
          <w:tcPr>
            <w:tcW w:w="1915" w:type="dxa"/>
          </w:tcPr>
          <w:p w:rsidR="009034CA" w:rsidRDefault="001512FE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Figures in Q.1/ 2020</w:t>
            </w:r>
          </w:p>
        </w:tc>
        <w:tc>
          <w:tcPr>
            <w:tcW w:w="1916" w:type="dxa"/>
          </w:tcPr>
          <w:p w:rsidR="009034CA" w:rsidRDefault="001512FE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</w:tr>
      <w:tr w:rsidR="00FF18BE" w:rsidTr="009034CA">
        <w:tc>
          <w:tcPr>
            <w:tcW w:w="648" w:type="dxa"/>
          </w:tcPr>
          <w:p w:rsidR="009034CA" w:rsidRDefault="009034CA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82" w:type="dxa"/>
          </w:tcPr>
          <w:p w:rsidR="009034CA" w:rsidRDefault="001512FE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915" w:type="dxa"/>
          </w:tcPr>
          <w:p w:rsidR="009034CA" w:rsidRDefault="001512FE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12,512,922,338</w:t>
            </w:r>
          </w:p>
        </w:tc>
        <w:tc>
          <w:tcPr>
            <w:tcW w:w="1915" w:type="dxa"/>
          </w:tcPr>
          <w:p w:rsidR="009034CA" w:rsidRDefault="001512FE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4,633,726,584</w:t>
            </w:r>
          </w:p>
        </w:tc>
        <w:tc>
          <w:tcPr>
            <w:tcW w:w="1916" w:type="dxa"/>
          </w:tcPr>
          <w:p w:rsidR="009034CA" w:rsidRDefault="00FF18BE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-7,879,195,754</w:t>
            </w:r>
          </w:p>
        </w:tc>
      </w:tr>
    </w:tbl>
    <w:p w:rsidR="009034CA" w:rsidRDefault="009034CA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3A7A" w:rsidRDefault="00FF18BE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the</w:t>
      </w:r>
      <w:r w:rsidR="0041024E" w:rsidRPr="0041024E">
        <w:rPr>
          <w:rFonts w:ascii="Arial" w:hAnsi="Arial" w:cs="Arial"/>
          <w:sz w:val="20"/>
          <w:szCs w:val="20"/>
        </w:rPr>
        <w:t xml:space="preserve"> difference: At the time of submitting th</w:t>
      </w:r>
      <w:r>
        <w:rPr>
          <w:rFonts w:ascii="Arial" w:hAnsi="Arial" w:cs="Arial"/>
          <w:sz w:val="20"/>
          <w:szCs w:val="20"/>
        </w:rPr>
        <w:t>e financial statement of</w:t>
      </w:r>
      <w:r w:rsidR="0041024E" w:rsidRPr="0041024E">
        <w:rPr>
          <w:rFonts w:ascii="Arial" w:hAnsi="Arial" w:cs="Arial"/>
          <w:sz w:val="20"/>
          <w:szCs w:val="20"/>
        </w:rPr>
        <w:t xml:space="preserve"> the first quarter of 2020 on April 20, 2020, the profit in the</w:t>
      </w:r>
      <w:r>
        <w:rPr>
          <w:rFonts w:ascii="Arial" w:hAnsi="Arial" w:cs="Arial"/>
          <w:sz w:val="20"/>
          <w:szCs w:val="20"/>
        </w:rPr>
        <w:t xml:space="preserve"> first quarter of 2020 decreased by VND 7.</w:t>
      </w:r>
      <w:r w:rsidR="0041024E" w:rsidRPr="0041024E">
        <w:rPr>
          <w:rFonts w:ascii="Arial" w:hAnsi="Arial" w:cs="Arial"/>
          <w:sz w:val="20"/>
          <w:szCs w:val="20"/>
        </w:rPr>
        <w:t>8 billion compar</w:t>
      </w:r>
      <w:r w:rsidR="00C9136F">
        <w:rPr>
          <w:rFonts w:ascii="Arial" w:hAnsi="Arial" w:cs="Arial"/>
          <w:sz w:val="20"/>
          <w:szCs w:val="20"/>
        </w:rPr>
        <w:t>ed to the first quarter of 2019. T</w:t>
      </w:r>
      <w:r w:rsidR="0041024E" w:rsidRPr="0041024E">
        <w:rPr>
          <w:rFonts w:ascii="Arial" w:hAnsi="Arial" w:cs="Arial"/>
          <w:sz w:val="20"/>
          <w:szCs w:val="20"/>
        </w:rPr>
        <w:t xml:space="preserve">he reason </w:t>
      </w:r>
      <w:r w:rsidR="00C9136F">
        <w:rPr>
          <w:rFonts w:ascii="Arial" w:hAnsi="Arial" w:cs="Arial"/>
          <w:sz w:val="20"/>
          <w:szCs w:val="20"/>
        </w:rPr>
        <w:t>was that profit of t</w:t>
      </w:r>
      <w:r w:rsidR="0041024E" w:rsidRPr="0041024E">
        <w:rPr>
          <w:rFonts w:ascii="Arial" w:hAnsi="Arial" w:cs="Arial"/>
          <w:sz w:val="20"/>
          <w:szCs w:val="20"/>
        </w:rPr>
        <w:t xml:space="preserve">he </w:t>
      </w:r>
      <w:r w:rsidR="00C9136F">
        <w:rPr>
          <w:rFonts w:ascii="Arial" w:hAnsi="Arial" w:cs="Arial"/>
          <w:sz w:val="20"/>
          <w:szCs w:val="20"/>
        </w:rPr>
        <w:t>infrastructure in</w:t>
      </w:r>
      <w:r w:rsidR="00940934">
        <w:rPr>
          <w:rFonts w:ascii="Arial" w:hAnsi="Arial" w:cs="Arial"/>
          <w:sz w:val="20"/>
          <w:szCs w:val="20"/>
        </w:rPr>
        <w:t xml:space="preserve"> 2018 was</w:t>
      </w:r>
      <w:r w:rsidR="0041024E" w:rsidRPr="0041024E">
        <w:rPr>
          <w:rFonts w:ascii="Arial" w:hAnsi="Arial" w:cs="Arial"/>
          <w:sz w:val="20"/>
          <w:szCs w:val="20"/>
        </w:rPr>
        <w:t xml:space="preserve"> VND</w:t>
      </w:r>
      <w:r w:rsidR="00940934">
        <w:rPr>
          <w:rFonts w:ascii="Arial" w:hAnsi="Arial" w:cs="Arial"/>
          <w:sz w:val="20"/>
          <w:szCs w:val="20"/>
        </w:rPr>
        <w:t xml:space="preserve"> 5 billion</w:t>
      </w:r>
      <w:r w:rsidR="0041024E" w:rsidRPr="0041024E">
        <w:rPr>
          <w:rFonts w:ascii="Arial" w:hAnsi="Arial" w:cs="Arial"/>
          <w:sz w:val="20"/>
          <w:szCs w:val="20"/>
        </w:rPr>
        <w:t xml:space="preserve"> transferred to the first quarter of 2019,</w:t>
      </w:r>
      <w:r w:rsidR="00940934">
        <w:rPr>
          <w:rFonts w:ascii="Arial" w:hAnsi="Arial" w:cs="Arial"/>
          <w:sz w:val="20"/>
          <w:szCs w:val="20"/>
        </w:rPr>
        <w:t xml:space="preserve"> which</w:t>
      </w:r>
      <w:r w:rsidR="0041024E" w:rsidRPr="0041024E">
        <w:rPr>
          <w:rFonts w:ascii="Arial" w:hAnsi="Arial" w:cs="Arial"/>
          <w:sz w:val="20"/>
          <w:szCs w:val="20"/>
        </w:rPr>
        <w:t xml:space="preserve"> </w:t>
      </w:r>
      <w:r w:rsidR="00940934">
        <w:rPr>
          <w:rFonts w:ascii="Arial" w:hAnsi="Arial" w:cs="Arial"/>
          <w:sz w:val="20"/>
          <w:szCs w:val="20"/>
        </w:rPr>
        <w:t>made</w:t>
      </w:r>
      <w:r w:rsidR="0041024E" w:rsidRPr="0041024E">
        <w:rPr>
          <w:rFonts w:ascii="Arial" w:hAnsi="Arial" w:cs="Arial"/>
          <w:sz w:val="20"/>
          <w:szCs w:val="20"/>
        </w:rPr>
        <w:t xml:space="preserve"> the profit in the first quarter of 2019 increase</w:t>
      </w:r>
      <w:r w:rsidR="002F2C18">
        <w:rPr>
          <w:rFonts w:ascii="Arial" w:hAnsi="Arial" w:cs="Arial"/>
          <w:sz w:val="20"/>
          <w:szCs w:val="20"/>
        </w:rPr>
        <w:t xml:space="preserve"> by</w:t>
      </w:r>
      <w:r w:rsidR="0041024E" w:rsidRPr="0041024E">
        <w:rPr>
          <w:rFonts w:ascii="Arial" w:hAnsi="Arial" w:cs="Arial"/>
          <w:sz w:val="20"/>
          <w:szCs w:val="20"/>
        </w:rPr>
        <w:t xml:space="preserve"> </w:t>
      </w:r>
      <w:r w:rsidR="002F2C18">
        <w:rPr>
          <w:rFonts w:ascii="Arial" w:hAnsi="Arial" w:cs="Arial"/>
          <w:sz w:val="20"/>
          <w:szCs w:val="20"/>
        </w:rPr>
        <w:t>over</w:t>
      </w:r>
      <w:r w:rsidR="0041024E" w:rsidRPr="0041024E">
        <w:rPr>
          <w:rFonts w:ascii="Arial" w:hAnsi="Arial" w:cs="Arial"/>
          <w:sz w:val="20"/>
          <w:szCs w:val="20"/>
        </w:rPr>
        <w:t xml:space="preserve"> </w:t>
      </w:r>
      <w:r w:rsidR="002F2C18">
        <w:rPr>
          <w:rFonts w:ascii="Arial" w:hAnsi="Arial" w:cs="Arial"/>
          <w:sz w:val="20"/>
          <w:szCs w:val="20"/>
        </w:rPr>
        <w:t xml:space="preserve">VND </w:t>
      </w:r>
      <w:r w:rsidR="0041024E" w:rsidRPr="0041024E">
        <w:rPr>
          <w:rFonts w:ascii="Arial" w:hAnsi="Arial" w:cs="Arial"/>
          <w:sz w:val="20"/>
          <w:szCs w:val="20"/>
        </w:rPr>
        <w:t xml:space="preserve">5 billion compared to the first quarter of 2020. </w:t>
      </w:r>
      <w:r w:rsidR="002F2C18">
        <w:rPr>
          <w:rFonts w:ascii="Arial" w:hAnsi="Arial" w:cs="Arial"/>
          <w:sz w:val="20"/>
          <w:szCs w:val="20"/>
        </w:rPr>
        <w:t>Profit from the rental of RTG crane was</w:t>
      </w:r>
      <w:r w:rsidR="0041024E" w:rsidRPr="0041024E">
        <w:rPr>
          <w:rFonts w:ascii="Arial" w:hAnsi="Arial" w:cs="Arial"/>
          <w:sz w:val="20"/>
          <w:szCs w:val="20"/>
        </w:rPr>
        <w:t xml:space="preserve"> VND</w:t>
      </w:r>
      <w:r w:rsidR="002F2C18">
        <w:rPr>
          <w:rFonts w:ascii="Arial" w:hAnsi="Arial" w:cs="Arial"/>
          <w:sz w:val="20"/>
          <w:szCs w:val="20"/>
        </w:rPr>
        <w:t xml:space="preserve"> 2.35 billion. P</w:t>
      </w:r>
      <w:r w:rsidR="0041024E" w:rsidRPr="0041024E">
        <w:rPr>
          <w:rFonts w:ascii="Arial" w:hAnsi="Arial" w:cs="Arial"/>
          <w:sz w:val="20"/>
          <w:szCs w:val="20"/>
        </w:rPr>
        <w:t>rofit from the le</w:t>
      </w:r>
      <w:r w:rsidR="001E349F">
        <w:rPr>
          <w:rFonts w:ascii="Arial" w:hAnsi="Arial" w:cs="Arial"/>
          <w:sz w:val="20"/>
          <w:szCs w:val="20"/>
        </w:rPr>
        <w:t xml:space="preserve">asing of tractors was </w:t>
      </w:r>
      <w:r w:rsidR="0041024E" w:rsidRPr="0041024E">
        <w:rPr>
          <w:rFonts w:ascii="Arial" w:hAnsi="Arial" w:cs="Arial"/>
          <w:sz w:val="20"/>
          <w:szCs w:val="20"/>
        </w:rPr>
        <w:t>VND</w:t>
      </w:r>
      <w:r w:rsidR="001E349F">
        <w:rPr>
          <w:rFonts w:ascii="Arial" w:hAnsi="Arial" w:cs="Arial"/>
          <w:sz w:val="20"/>
          <w:szCs w:val="20"/>
        </w:rPr>
        <w:t xml:space="preserve"> </w:t>
      </w:r>
      <w:r w:rsidR="0041024E" w:rsidRPr="0041024E">
        <w:rPr>
          <w:rFonts w:ascii="Arial" w:hAnsi="Arial" w:cs="Arial"/>
          <w:sz w:val="20"/>
          <w:szCs w:val="20"/>
        </w:rPr>
        <w:t>350 million in Q</w:t>
      </w:r>
      <w:r w:rsidR="001E349F">
        <w:rPr>
          <w:rFonts w:ascii="Arial" w:hAnsi="Arial" w:cs="Arial"/>
          <w:sz w:val="20"/>
          <w:szCs w:val="20"/>
        </w:rPr>
        <w:t>.1</w:t>
      </w:r>
      <w:r w:rsidR="0041024E" w:rsidRPr="0041024E">
        <w:rPr>
          <w:rFonts w:ascii="Arial" w:hAnsi="Arial" w:cs="Arial"/>
          <w:sz w:val="20"/>
          <w:szCs w:val="20"/>
        </w:rPr>
        <w:t xml:space="preserve">/ 2020 </w:t>
      </w:r>
      <w:r w:rsidR="001E349F">
        <w:rPr>
          <w:rFonts w:ascii="Arial" w:hAnsi="Arial" w:cs="Arial"/>
          <w:sz w:val="20"/>
          <w:szCs w:val="20"/>
        </w:rPr>
        <w:t>which was not recorded due to</w:t>
      </w:r>
      <w:r w:rsidR="0041024E" w:rsidRPr="0041024E">
        <w:rPr>
          <w:rFonts w:ascii="Arial" w:hAnsi="Arial" w:cs="Arial"/>
          <w:sz w:val="20"/>
          <w:szCs w:val="20"/>
        </w:rPr>
        <w:t xml:space="preserve"> inconsistency of </w:t>
      </w:r>
      <w:r w:rsidR="001E349F">
        <w:rPr>
          <w:rFonts w:ascii="Arial" w:hAnsi="Arial" w:cs="Arial"/>
          <w:sz w:val="20"/>
          <w:szCs w:val="20"/>
        </w:rPr>
        <w:t xml:space="preserve">a </w:t>
      </w:r>
      <w:r w:rsidR="0041024E" w:rsidRPr="0041024E">
        <w:rPr>
          <w:rFonts w:ascii="Arial" w:hAnsi="Arial" w:cs="Arial"/>
          <w:sz w:val="20"/>
          <w:szCs w:val="20"/>
        </w:rPr>
        <w:t>contract w</w:t>
      </w:r>
      <w:r w:rsidR="00E33A7A">
        <w:rPr>
          <w:rFonts w:ascii="Arial" w:hAnsi="Arial" w:cs="Arial"/>
          <w:sz w:val="20"/>
          <w:szCs w:val="20"/>
        </w:rPr>
        <w:t>ith Saigon Newport Corporation</w:t>
      </w:r>
    </w:p>
    <w:p w:rsidR="00E33A7A" w:rsidRDefault="0041024E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In the first quarter of 2020, due to the impact of the Corona epidemic, the </w:t>
      </w:r>
      <w:r w:rsidR="00E33A7A">
        <w:rPr>
          <w:rFonts w:ascii="Arial" w:hAnsi="Arial" w:cs="Arial"/>
          <w:sz w:val="20"/>
          <w:szCs w:val="20"/>
        </w:rPr>
        <w:t>C</w:t>
      </w:r>
      <w:r w:rsidRPr="0041024E">
        <w:rPr>
          <w:rFonts w:ascii="Arial" w:hAnsi="Arial" w:cs="Arial"/>
          <w:sz w:val="20"/>
          <w:szCs w:val="20"/>
        </w:rPr>
        <w:t>ompany's business and production activi</w:t>
      </w:r>
      <w:r w:rsidR="00E33A7A">
        <w:rPr>
          <w:rFonts w:ascii="Arial" w:hAnsi="Arial" w:cs="Arial"/>
          <w:sz w:val="20"/>
          <w:szCs w:val="20"/>
        </w:rPr>
        <w:t>ties were partially affected</w:t>
      </w:r>
    </w:p>
    <w:p w:rsidR="0041024E" w:rsidRDefault="0041024E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We hereby certify that the above information is true and fully responsible before the law for the content of published information</w:t>
      </w:r>
      <w:bookmarkStart w:id="0" w:name="_GoBack"/>
      <w:bookmarkEnd w:id="0"/>
    </w:p>
    <w:sectPr w:rsidR="0041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51768"/>
    <w:rsid w:val="00073028"/>
    <w:rsid w:val="00076CCB"/>
    <w:rsid w:val="0008067D"/>
    <w:rsid w:val="00090ACE"/>
    <w:rsid w:val="000A58B1"/>
    <w:rsid w:val="000A79D8"/>
    <w:rsid w:val="000B0FD0"/>
    <w:rsid w:val="000B33BC"/>
    <w:rsid w:val="000B4563"/>
    <w:rsid w:val="000E15ED"/>
    <w:rsid w:val="000E5BBD"/>
    <w:rsid w:val="0010357F"/>
    <w:rsid w:val="0012502D"/>
    <w:rsid w:val="00125C9D"/>
    <w:rsid w:val="001512FE"/>
    <w:rsid w:val="001654BA"/>
    <w:rsid w:val="001A017D"/>
    <w:rsid w:val="001B2DAC"/>
    <w:rsid w:val="001E349F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E1D14"/>
    <w:rsid w:val="002F2C18"/>
    <w:rsid w:val="00303E63"/>
    <w:rsid w:val="003076A7"/>
    <w:rsid w:val="00330005"/>
    <w:rsid w:val="00336B0D"/>
    <w:rsid w:val="00346788"/>
    <w:rsid w:val="00353B40"/>
    <w:rsid w:val="003812F4"/>
    <w:rsid w:val="00385717"/>
    <w:rsid w:val="003A771E"/>
    <w:rsid w:val="003B2570"/>
    <w:rsid w:val="0041024E"/>
    <w:rsid w:val="00467BC0"/>
    <w:rsid w:val="004954D8"/>
    <w:rsid w:val="00496733"/>
    <w:rsid w:val="00497D89"/>
    <w:rsid w:val="004A7E66"/>
    <w:rsid w:val="004B0E3B"/>
    <w:rsid w:val="004B5C61"/>
    <w:rsid w:val="004C6739"/>
    <w:rsid w:val="004C7900"/>
    <w:rsid w:val="004C7D0C"/>
    <w:rsid w:val="004E68F1"/>
    <w:rsid w:val="005008A0"/>
    <w:rsid w:val="0057594E"/>
    <w:rsid w:val="0058021C"/>
    <w:rsid w:val="00594B24"/>
    <w:rsid w:val="00595C34"/>
    <w:rsid w:val="005A0A44"/>
    <w:rsid w:val="005B0276"/>
    <w:rsid w:val="005E7D00"/>
    <w:rsid w:val="005F5436"/>
    <w:rsid w:val="006033FC"/>
    <w:rsid w:val="0060744D"/>
    <w:rsid w:val="0063149F"/>
    <w:rsid w:val="006623D8"/>
    <w:rsid w:val="00675C63"/>
    <w:rsid w:val="00680BC9"/>
    <w:rsid w:val="00695103"/>
    <w:rsid w:val="006E13A2"/>
    <w:rsid w:val="006E3B6D"/>
    <w:rsid w:val="006F778A"/>
    <w:rsid w:val="00701C87"/>
    <w:rsid w:val="00701F46"/>
    <w:rsid w:val="007028B7"/>
    <w:rsid w:val="00711E53"/>
    <w:rsid w:val="0072584C"/>
    <w:rsid w:val="00725925"/>
    <w:rsid w:val="00740A0C"/>
    <w:rsid w:val="00745D9A"/>
    <w:rsid w:val="00761E26"/>
    <w:rsid w:val="00795EA8"/>
    <w:rsid w:val="007D449B"/>
    <w:rsid w:val="007F3C6C"/>
    <w:rsid w:val="007F6A0E"/>
    <w:rsid w:val="007F7DB7"/>
    <w:rsid w:val="00804583"/>
    <w:rsid w:val="008078B6"/>
    <w:rsid w:val="00831901"/>
    <w:rsid w:val="0084703C"/>
    <w:rsid w:val="008574C3"/>
    <w:rsid w:val="0088081B"/>
    <w:rsid w:val="008854CF"/>
    <w:rsid w:val="00887B6C"/>
    <w:rsid w:val="00887C3A"/>
    <w:rsid w:val="0089624F"/>
    <w:rsid w:val="008A40F1"/>
    <w:rsid w:val="008B085F"/>
    <w:rsid w:val="008B17BB"/>
    <w:rsid w:val="008C2B4C"/>
    <w:rsid w:val="008D5C54"/>
    <w:rsid w:val="008E2D1E"/>
    <w:rsid w:val="009034CA"/>
    <w:rsid w:val="0091483D"/>
    <w:rsid w:val="00940934"/>
    <w:rsid w:val="00981C95"/>
    <w:rsid w:val="009C1200"/>
    <w:rsid w:val="00A0059A"/>
    <w:rsid w:val="00A16A85"/>
    <w:rsid w:val="00A308E4"/>
    <w:rsid w:val="00A31456"/>
    <w:rsid w:val="00A62855"/>
    <w:rsid w:val="00A81EB3"/>
    <w:rsid w:val="00AA01BA"/>
    <w:rsid w:val="00AA4AAA"/>
    <w:rsid w:val="00AF67BE"/>
    <w:rsid w:val="00B17D9D"/>
    <w:rsid w:val="00B22DA5"/>
    <w:rsid w:val="00B40E78"/>
    <w:rsid w:val="00B82455"/>
    <w:rsid w:val="00BA2C42"/>
    <w:rsid w:val="00BA721C"/>
    <w:rsid w:val="00BC16A6"/>
    <w:rsid w:val="00BF30C1"/>
    <w:rsid w:val="00C04449"/>
    <w:rsid w:val="00C075A7"/>
    <w:rsid w:val="00C13F9F"/>
    <w:rsid w:val="00C324E9"/>
    <w:rsid w:val="00C72FFB"/>
    <w:rsid w:val="00C761E0"/>
    <w:rsid w:val="00C82342"/>
    <w:rsid w:val="00C9136F"/>
    <w:rsid w:val="00CA41E5"/>
    <w:rsid w:val="00CA6F06"/>
    <w:rsid w:val="00CC15D8"/>
    <w:rsid w:val="00CD493C"/>
    <w:rsid w:val="00D06CA1"/>
    <w:rsid w:val="00D61AB5"/>
    <w:rsid w:val="00D778AE"/>
    <w:rsid w:val="00DA6845"/>
    <w:rsid w:val="00DE0692"/>
    <w:rsid w:val="00E0363A"/>
    <w:rsid w:val="00E11EBD"/>
    <w:rsid w:val="00E1367F"/>
    <w:rsid w:val="00E154B3"/>
    <w:rsid w:val="00E33A7A"/>
    <w:rsid w:val="00E36A48"/>
    <w:rsid w:val="00E46F08"/>
    <w:rsid w:val="00EA098E"/>
    <w:rsid w:val="00EA67D4"/>
    <w:rsid w:val="00EA6E4A"/>
    <w:rsid w:val="00ED31AF"/>
    <w:rsid w:val="00EE0CC2"/>
    <w:rsid w:val="00EF7457"/>
    <w:rsid w:val="00F02E19"/>
    <w:rsid w:val="00F163FC"/>
    <w:rsid w:val="00F504F6"/>
    <w:rsid w:val="00F61528"/>
    <w:rsid w:val="00F655B9"/>
    <w:rsid w:val="00F830AC"/>
    <w:rsid w:val="00F85153"/>
    <w:rsid w:val="00F9058F"/>
    <w:rsid w:val="00FD2D19"/>
    <w:rsid w:val="00FD731F"/>
    <w:rsid w:val="00FF1523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144</cp:revision>
  <dcterms:created xsi:type="dcterms:W3CDTF">2019-10-16T10:03:00Z</dcterms:created>
  <dcterms:modified xsi:type="dcterms:W3CDTF">2020-05-13T06:54:00Z</dcterms:modified>
</cp:coreProperties>
</file>